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31E5D2B" w14:textId="77777777" w:rsidR="00204920" w:rsidRDefault="00122667">
      <w:pPr>
        <w:snapToGrid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588E41DF" wp14:editId="1F73B25C">
            <wp:extent cx="5283200" cy="3460115"/>
            <wp:effectExtent l="0" t="0" r="0" b="6985"/>
            <wp:docPr id="102197282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972821" name="图片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346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E8F537" w14:textId="77777777" w:rsidR="00204920" w:rsidRDefault="00204920">
      <w:pPr>
        <w:rPr>
          <w:rFonts w:ascii="Times New Roman" w:hAnsi="Times New Roman" w:cs="Times New Roman"/>
          <w:b/>
          <w:bCs/>
        </w:rPr>
      </w:pPr>
    </w:p>
    <w:p w14:paraId="0A141A79" w14:textId="31F7DFCA" w:rsidR="00204920" w:rsidRDefault="0012266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 xml:space="preserve">Supplementary Fig. </w:t>
      </w:r>
      <w:r>
        <w:rPr>
          <w:rFonts w:ascii="Times New Roman" w:hAnsi="Times New Roman" w:cs="Times New Roman" w:hint="eastAsia"/>
          <w:b/>
          <w:bCs/>
        </w:rPr>
        <w:t>1.</w:t>
      </w:r>
      <w:r>
        <w:rPr>
          <w:rFonts w:ascii="Times New Roman" w:hAnsi="Times New Roman" w:cs="Times New Roman"/>
          <w:b/>
          <w:bCs/>
        </w:rPr>
        <w:t xml:space="preserve"> Flow cytometric characterization of mesenchymal stem cells (MSCs).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>(A) Isotype control staining for FITC-IgG1 and PE-IgG2a antibodies.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 xml:space="preserve">(B) Flow cytometric analysis of negative MSC markers showing low expression of CD45 (0.36%) and </w:t>
      </w:r>
      <w:r>
        <w:rPr>
          <w:rFonts w:ascii="Times New Roman" w:hAnsi="Times New Roman" w:cs="Times New Roman"/>
        </w:rPr>
        <w:t>HLA-DR (0.08%).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>(C) Flow cytometric analysis of positive MSC markers demonstrating high expression of CD73 (99.93%) and CD105 (99.86%). Representative gating strategy based on FSC/SSC characteristics is shown in the left panels. These results confirmed the</w:t>
      </w:r>
      <w:r>
        <w:rPr>
          <w:rFonts w:ascii="Times New Roman" w:hAnsi="Times New Roman" w:cs="Times New Roman"/>
        </w:rPr>
        <w:t xml:space="preserve"> typical immunophenotype of MSCs.</w:t>
      </w:r>
    </w:p>
    <w:p w14:paraId="4048561E" w14:textId="77777777" w:rsidR="00204920" w:rsidRDefault="0012266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321CA5A6" w14:textId="77777777" w:rsidR="00204920" w:rsidRDefault="00122667">
      <w:r>
        <w:rPr>
          <w:rFonts w:hint="eastAsia"/>
          <w:noProof/>
        </w:rPr>
        <w:lastRenderedPageBreak/>
        <w:drawing>
          <wp:inline distT="0" distB="0" distL="114300" distR="114300" wp14:anchorId="66B3AF00" wp14:editId="164D91DB">
            <wp:extent cx="5427345" cy="7681595"/>
            <wp:effectExtent l="0" t="0" r="8255" b="1905"/>
            <wp:docPr id="2" name="图片 2" descr="Figure S1 拷贝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igure S1 拷贝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27345" cy="7681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0BA899" w14:textId="35023D56" w:rsidR="00204920" w:rsidRDefault="0012266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 xml:space="preserve">Supplementary Fig. </w:t>
      </w:r>
      <w:r>
        <w:rPr>
          <w:rFonts w:ascii="Times New Roman" w:hAnsi="Times New Roman" w:cs="Times New Roman" w:hint="eastAsia"/>
          <w:b/>
          <w:bCs/>
        </w:rPr>
        <w:t xml:space="preserve">2. </w:t>
      </w:r>
      <w:r>
        <w:rPr>
          <w:rFonts w:ascii="Times New Roman" w:hAnsi="Times New Roman" w:cs="Times New Roman"/>
          <w:b/>
          <w:bCs/>
        </w:rPr>
        <w:t xml:space="preserve">Proteomic functional annotation of </w:t>
      </w:r>
      <w:r>
        <w:rPr>
          <w:rFonts w:ascii="Times New Roman" w:hAnsi="Times New Roman" w:cs="Times New Roman"/>
          <w:b/>
          <w:bCs/>
          <w:szCs w:val="21"/>
        </w:rPr>
        <w:t xml:space="preserve">high-expression stable </w:t>
      </w:r>
      <w:r>
        <w:rPr>
          <w:rFonts w:ascii="Times New Roman" w:hAnsi="Times New Roman" w:cs="Times New Roman"/>
          <w:b/>
          <w:bCs/>
        </w:rPr>
        <w:t xml:space="preserve">proteins in 2D-EVs and sph-EVs. </w:t>
      </w:r>
      <w:r>
        <w:rPr>
          <w:rFonts w:ascii="Times New Roman" w:hAnsi="Times New Roman" w:cs="Times New Roman"/>
        </w:rPr>
        <w:t>(A</w:t>
      </w:r>
      <w:r>
        <w:rPr>
          <w:rFonts w:ascii="Times New Roman" w:hAnsi="Times New Roman" w:cs="Times New Roman" w:hint="eastAsia"/>
        </w:rPr>
        <w:t>-F</w:t>
      </w:r>
      <w:r>
        <w:rPr>
          <w:rFonts w:ascii="Times New Roman" w:hAnsi="Times New Roman" w:cs="Times New Roman"/>
        </w:rPr>
        <w:t xml:space="preserve">) Top 15 enriched GO Molecular Function, Cellular Component and Molecular Function for </w:t>
      </w:r>
      <w:r>
        <w:rPr>
          <w:rFonts w:ascii="Times New Roman" w:hAnsi="Times New Roman" w:cs="Times New Roman"/>
          <w:szCs w:val="21"/>
        </w:rPr>
        <w:t xml:space="preserve">high-expression </w:t>
      </w:r>
      <w:r>
        <w:rPr>
          <w:rFonts w:ascii="Times New Roman" w:hAnsi="Times New Roman" w:cs="Times New Roman"/>
          <w:szCs w:val="21"/>
        </w:rPr>
        <w:t>stable</w:t>
      </w:r>
      <w:r>
        <w:rPr>
          <w:rFonts w:ascii="Times New Roman" w:hAnsi="Times New Roman" w:cs="Times New Roman"/>
        </w:rPr>
        <w:t xml:space="preserve"> proteins in 2D-EVs (A</w:t>
      </w:r>
      <w:r>
        <w:rPr>
          <w:rFonts w:ascii="Times New Roman" w:hAnsi="Times New Roman" w:cs="Times New Roman" w:hint="eastAsia"/>
        </w:rPr>
        <w:t>,C,E</w:t>
      </w:r>
      <w:r>
        <w:rPr>
          <w:rFonts w:ascii="Times New Roman" w:hAnsi="Times New Roman" w:cs="Times New Roman"/>
        </w:rPr>
        <w:t>) and sph-EVs (B</w:t>
      </w:r>
      <w:r>
        <w:rPr>
          <w:rFonts w:ascii="Times New Roman" w:hAnsi="Times New Roman" w:cs="Times New Roman" w:hint="eastAsia"/>
        </w:rPr>
        <w:t>,D,F</w:t>
      </w:r>
      <w:r>
        <w:rPr>
          <w:rFonts w:ascii="Times New Roman" w:hAnsi="Times New Roman" w:cs="Times New Roman"/>
        </w:rPr>
        <w:t>). (</w:t>
      </w:r>
      <w:r>
        <w:rPr>
          <w:rFonts w:ascii="Times New Roman" w:hAnsi="Times New Roman" w:cs="Times New Roman" w:hint="eastAsia"/>
        </w:rPr>
        <w:t>G</w:t>
      </w:r>
      <w:r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 w:hint="eastAsia"/>
        </w:rPr>
        <w:t>H</w:t>
      </w:r>
      <w:r>
        <w:rPr>
          <w:rFonts w:ascii="Times New Roman" w:hAnsi="Times New Roman" w:cs="Times New Roman"/>
        </w:rPr>
        <w:t>) Top 15 enriched KEGG pathways for high-expression stable proteins in 2D-EVs (</w:t>
      </w:r>
      <w:r>
        <w:rPr>
          <w:rFonts w:ascii="Times New Roman" w:hAnsi="Times New Roman" w:cs="Times New Roman" w:hint="eastAsia"/>
        </w:rPr>
        <w:t>G</w:t>
      </w:r>
      <w:r>
        <w:rPr>
          <w:rFonts w:ascii="Times New Roman" w:hAnsi="Times New Roman" w:cs="Times New Roman"/>
        </w:rPr>
        <w:t>) and sph-EVs (</w:t>
      </w:r>
      <w:r>
        <w:rPr>
          <w:rFonts w:ascii="Times New Roman" w:hAnsi="Times New Roman" w:cs="Times New Roman" w:hint="eastAsia"/>
        </w:rPr>
        <w:t>H</w:t>
      </w:r>
      <w:r>
        <w:rPr>
          <w:rFonts w:ascii="Times New Roman" w:hAnsi="Times New Roman" w:cs="Times New Roman"/>
        </w:rPr>
        <w:t xml:space="preserve">). </w:t>
      </w:r>
      <w:r>
        <w:rPr>
          <w:rFonts w:ascii="Times New Roman" w:hAnsi="Times New Roman" w:cs="Times New Roman"/>
        </w:rPr>
        <w:br w:type="page"/>
      </w:r>
    </w:p>
    <w:p w14:paraId="2A4FC083" w14:textId="77777777" w:rsidR="00204920" w:rsidRDefault="00204920"/>
    <w:p w14:paraId="50992DA4" w14:textId="77777777" w:rsidR="00204920" w:rsidRDefault="00122667">
      <w:r>
        <w:rPr>
          <w:noProof/>
        </w:rPr>
        <w:drawing>
          <wp:inline distT="0" distB="0" distL="114300" distR="114300" wp14:anchorId="38E145E4" wp14:editId="354312AC">
            <wp:extent cx="5365115" cy="1957705"/>
            <wp:effectExtent l="0" t="0" r="6985" b="10795"/>
            <wp:docPr id="3" name="图片 3" descr="Supplemental Figure S2 拷贝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Supplemental Figure S2 拷贝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65115" cy="1957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8D46E" w14:textId="3D7462E2" w:rsidR="00204920" w:rsidRDefault="0012266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 xml:space="preserve">Supplementary Fig. </w:t>
      </w:r>
      <w:r>
        <w:rPr>
          <w:rFonts w:ascii="Times New Roman" w:hAnsi="Times New Roman" w:cs="Times New Roman" w:hint="eastAsia"/>
          <w:b/>
          <w:bCs/>
        </w:rPr>
        <w:t>3</w:t>
      </w:r>
      <w:r>
        <w:rPr>
          <w:rFonts w:ascii="Times New Roman" w:hAnsi="Times New Roman" w:cs="Times New Roman" w:hint="eastAsia"/>
          <w:b/>
          <w:bCs/>
        </w:rPr>
        <w:t xml:space="preserve">. </w:t>
      </w:r>
      <w:r w:rsidRPr="00EE7C44">
        <w:rPr>
          <w:rFonts w:ascii="Times New Roman" w:hAnsi="Times New Roman" w:cs="Times New Roman" w:hint="eastAsia"/>
          <w:b/>
          <w:bCs/>
        </w:rPr>
        <w:t xml:space="preserve">Proteomic functional annotation of differentially expressed proteins in </w:t>
      </w:r>
      <w:r w:rsidRPr="00EE7C44">
        <w:rPr>
          <w:rFonts w:ascii="Times New Roman" w:hAnsi="Times New Roman" w:cs="Times New Roman" w:hint="eastAsia"/>
          <w:b/>
          <w:bCs/>
        </w:rPr>
        <w:t>2D-EVs versus sph-EVs.</w:t>
      </w:r>
      <w:r>
        <w:rPr>
          <w:rFonts w:ascii="Times New Roman" w:hAnsi="Times New Roman" w:cs="Times New Roman" w:hint="eastAsia"/>
        </w:rPr>
        <w:t xml:space="preserve"> Top 15 enriched GO Cellular Component (A) and GO Molecular Function (B) for differentially expressed proteins in 2D-EVs versus sph-EVs. </w:t>
      </w:r>
    </w:p>
    <w:p w14:paraId="797A505B" w14:textId="77777777" w:rsidR="00204920" w:rsidRDefault="00122667">
      <w:r>
        <w:br w:type="page"/>
      </w:r>
    </w:p>
    <w:p w14:paraId="6469AF70" w14:textId="77777777" w:rsidR="00204920" w:rsidRDefault="00204920"/>
    <w:p w14:paraId="457C499B" w14:textId="77777777" w:rsidR="00204920" w:rsidRDefault="00122667">
      <w:r>
        <w:rPr>
          <w:noProof/>
        </w:rPr>
        <w:drawing>
          <wp:inline distT="0" distB="0" distL="0" distR="0" wp14:anchorId="693017F7" wp14:editId="268A372E">
            <wp:extent cx="5360670" cy="3329940"/>
            <wp:effectExtent l="0" t="0" r="11430" b="10160"/>
            <wp:docPr id="9366033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603348" name="图片 1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9607"/>
                    <a:stretch>
                      <a:fillRect/>
                    </a:stretch>
                  </pic:blipFill>
                  <pic:spPr>
                    <a:xfrm>
                      <a:off x="0" y="0"/>
                      <a:ext cx="5360670" cy="332994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20AB0E" w14:textId="0D51102B" w:rsidR="00204920" w:rsidRDefault="0012266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b/>
          <w:bCs/>
        </w:rPr>
        <w:t>Supplementary Fig.</w:t>
      </w:r>
      <w:r>
        <w:rPr>
          <w:rFonts w:ascii="Times New Roman" w:hAnsi="Times New Roman" w:cs="Times New Roman"/>
          <w:b/>
          <w:bCs/>
        </w:rPr>
        <w:t xml:space="preserve"> </w:t>
      </w:r>
      <w:r>
        <w:rPr>
          <w:rFonts w:ascii="Times New Roman" w:hAnsi="Times New Roman" w:cs="Times New Roman" w:hint="eastAsia"/>
          <w:b/>
          <w:bCs/>
        </w:rPr>
        <w:t xml:space="preserve">4. Cluster heatmaps for differentially expressed proteins involved in </w:t>
      </w:r>
      <w:r>
        <w:rPr>
          <w:rFonts w:ascii="Times New Roman" w:hAnsi="Times New Roman" w:cs="Times New Roman" w:hint="eastAsia"/>
          <w:b/>
          <w:bCs/>
        </w:rPr>
        <w:t>growth factors.</w:t>
      </w:r>
      <w:r>
        <w:rPr>
          <w:rFonts w:ascii="Times New Roman" w:hAnsi="Times New Roman" w:cs="Times New Roman" w:hint="eastAsia"/>
        </w:rPr>
        <w:t xml:space="preserve"> (A) and neuroregeneration (B). An annotation bar color-codes each protein based on its statistical significance (red: significant, adjusted </w:t>
      </w:r>
      <w:r w:rsidRPr="00122667">
        <w:rPr>
          <w:rFonts w:ascii="Times New Roman" w:hAnsi="Times New Roman" w:cs="Times New Roman" w:hint="eastAsia"/>
          <w:i/>
        </w:rPr>
        <w:t>p</w:t>
      </w:r>
      <w:r>
        <w:rPr>
          <w:rFonts w:ascii="Times New Roman" w:hAnsi="Times New Roman" w:cs="Times New Roman" w:hint="eastAsia"/>
        </w:rPr>
        <w:t>-value &lt; 0.05; gray: non-significant).</w:t>
      </w:r>
    </w:p>
    <w:p w14:paraId="1C4F1992" w14:textId="77777777" w:rsidR="00204920" w:rsidRDefault="0012266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br w:type="page"/>
      </w:r>
    </w:p>
    <w:p w14:paraId="2194B595" w14:textId="77777777" w:rsidR="00204920" w:rsidRDefault="00122667">
      <w:r>
        <w:rPr>
          <w:noProof/>
        </w:rPr>
        <w:lastRenderedPageBreak/>
        <w:drawing>
          <wp:inline distT="0" distB="0" distL="0" distR="0" wp14:anchorId="256EB7D5" wp14:editId="4026AB66">
            <wp:extent cx="5224145" cy="2279650"/>
            <wp:effectExtent l="0" t="0" r="8255" b="6350"/>
            <wp:docPr id="159518945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5189456" name="图片 2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372"/>
                    <a:stretch>
                      <a:fillRect/>
                    </a:stretch>
                  </pic:blipFill>
                  <pic:spPr>
                    <a:xfrm>
                      <a:off x="0" y="0"/>
                      <a:ext cx="5224145" cy="22796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06C9CD" w14:textId="77777777" w:rsidR="00204920" w:rsidRDefault="00204920"/>
    <w:p w14:paraId="5C78B1E9" w14:textId="79E5F58B" w:rsidR="00204920" w:rsidRDefault="00122667">
      <w:pPr>
        <w:snapToGrid w:val="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</w:rPr>
        <w:t xml:space="preserve">Supplementary Fig. </w:t>
      </w:r>
      <w:r>
        <w:rPr>
          <w:rFonts w:ascii="Times New Roman" w:hAnsi="Times New Roman" w:cs="Times New Roman" w:hint="eastAsia"/>
          <w:b/>
          <w:bCs/>
        </w:rPr>
        <w:t>5.</w:t>
      </w:r>
      <w:r>
        <w:rPr>
          <w:rFonts w:ascii="Times New Roman" w:hAnsi="Times New Roman" w:cs="Times New Roman"/>
          <w:b/>
          <w:bCs/>
          <w:color w:val="0000FF"/>
          <w:szCs w:val="21"/>
        </w:rPr>
        <w:t xml:space="preserve"> </w:t>
      </w:r>
      <w:r>
        <w:rPr>
          <w:rFonts w:ascii="Times New Roman" w:hAnsi="Times New Roman" w:cs="Times New Roman"/>
          <w:b/>
          <w:bCs/>
          <w:szCs w:val="21"/>
        </w:rPr>
        <w:t xml:space="preserve">In vivo stability and therapeutic </w:t>
      </w:r>
      <w:r>
        <w:rPr>
          <w:rFonts w:ascii="Times New Roman" w:hAnsi="Times New Roman" w:cs="Times New Roman"/>
          <w:b/>
          <w:bCs/>
          <w:szCs w:val="21"/>
        </w:rPr>
        <w:t>efficacy of RGD-MSC@Alg microspheres in MCAO/R mice</w:t>
      </w:r>
      <w:r>
        <w:rPr>
          <w:rFonts w:ascii="Times New Roman" w:hAnsi="Times New Roman" w:cs="Times New Roman"/>
          <w:szCs w:val="21"/>
        </w:rPr>
        <w:t xml:space="preserve">. </w:t>
      </w:r>
      <w:r>
        <w:rPr>
          <w:rFonts w:ascii="Times New Roman" w:hAnsi="Times New Roman" w:cs="Times New Roman"/>
        </w:rPr>
        <w:t>(A) Representative images of alginate microspheres in the mouse peritoneal cavity 7 days after implantation. Yellow arrows indicate the implanted microspheres, which remained clearly visible and maintain</w:t>
      </w:r>
      <w:r>
        <w:rPr>
          <w:rFonts w:ascii="Times New Roman" w:hAnsi="Times New Roman" w:cs="Times New Roman"/>
        </w:rPr>
        <w:t xml:space="preserve">ed their particulate morphology. </w:t>
      </w:r>
      <w:r>
        <w:rPr>
          <w:rFonts w:ascii="Times New Roman" w:hAnsi="Times New Roman" w:cs="Times New Roman"/>
          <w:szCs w:val="21"/>
        </w:rPr>
        <w:t>(B) Representative TTC-stained brain sections at day 3 after reperfusion in mice. (C) Quantitative analysis of cerebral infarct volume based on TTC staining.</w:t>
      </w:r>
    </w:p>
    <w:p w14:paraId="1D4E1BD3" w14:textId="77777777" w:rsidR="00204920" w:rsidRDefault="00204920">
      <w:bookmarkStart w:id="0" w:name="_GoBack"/>
      <w:bookmarkEnd w:id="0"/>
    </w:p>
    <w:sectPr w:rsidR="0020492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04920"/>
    <w:rsid w:val="00111F31"/>
    <w:rsid w:val="00122667"/>
    <w:rsid w:val="00204920"/>
    <w:rsid w:val="00EE7C44"/>
    <w:rsid w:val="45566A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BBB011E"/>
  <w15:docId w15:val="{0F5FA030-48B7-41AD-8AE8-F72A133890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tiff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5</Pages>
  <Words>296</Words>
  <Characters>1689</Characters>
  <Application>Microsoft Office Word</Application>
  <DocSecurity>0</DocSecurity>
  <Lines>14</Lines>
  <Paragraphs>3</Paragraphs>
  <ScaleCrop>false</ScaleCrop>
  <Company/>
  <LinksUpToDate>false</LinksUpToDate>
  <CharactersWithSpaces>1982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yiran</dc:creator>
  <cp:lastModifiedBy>Erin Chee</cp:lastModifiedBy>
  <cp:revision>3</cp:revision>
  <dcterms:created xsi:type="dcterms:W3CDTF">2026-06-30T10:17:00Z</dcterms:created>
  <dcterms:modified xsi:type="dcterms:W3CDTF">2026-07-07T05:49:00Z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KSOTemplateDocerSaveRecord">
    <vt:lpwstr>eyJoZGlkIjoiZmRiOTdhZjNmMWE1Nzg5MTIyOGE5NzI1YzAxMDU5NWMiLCJ1c2VySWQiOiI2Nzc3MzM2MTIifQ==</vt:lpwstr>
  </property>
  <property fmtid="{D5CDD505-2E9C-101B-9397-08002B2CF9AE}" pid="4" name="ICV">
    <vt:lpwstr>830C78D9F8454737A6D54A51EE41CAA4_12</vt:lpwstr>
  </property>
  <property fmtid="{D5CDD505-2E9C-101B-9397-08002B2CF9AE}" pid="5" name="GrammarlyDocumentId">
    <vt:lpwstr>4a8baefb-fb5f-4b62-bfaf-18e9aa30de47</vt:lpwstr>
  </property>
</Properties>
</file>